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písemnosti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66-u-3/AC43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písemnosti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zahradnická škola, Žákovská, Ostrava - Hulváky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Komunikativní kompetence, Personální a sociální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06. 2019 15:51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vést žáky k samostatnému vyhotovení základních obchodních písemností v souladu s normalizovanou úpravou písemností.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rozhodne, jaký druh písemnosti zpracuje na základě obchodní operace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vyhotoví podnikové a obchodní písemnosti v souladu s normalizovanou úpravou: poptávka, nabídka,objednávka, potvrzení objednávky, urgence, odpověď na urgenci, upomínka a odpověď na upomínku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zvolí vhodné formuláře písemností dle obsahu obchodních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 přečtení zadání si žák probere všechny přílohy zadané úlohy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si pořadí vystavení účetních dokladů vztahujících se k obchodním operacím (nákup – prodej zboží)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si ve spolupráci s učitelem nebo samostatně vybere vhodné formuláře k vyplnění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dle zadání připraví hlavičkové papíry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vyhotoví poptávku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s údaji souvisejícími s vystavením poptávky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 a označí si údaje odběratele a dodavatele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vyhotoví dle zadání poptávku na zboží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 vyhotoví nabídku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seznámí se s údaji souvisejícími s vystavením nabídky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vybere a označí si údaje odběratele a dodavatele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vyhotoví dle zadání nabídku zboží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zpracuje objednávku a potvrzení objednávky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vybere si vhodné již připravené papíry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vyhotoví dle zadání nabídku zboží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 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zpracuje urgenci a odpověď na urgenci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vybere si vhodné již připravené papíry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 dle zadání potřebné písemnosti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 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6) zpracuje upomínku a odpověď na upomínkui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vybere si vhodné již připravené papíry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vyhotoví dle zadání potřebné písemnosti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 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obdrží zadání v tištěné podobě. Žák zpracuje komplexní úlohu na PC, zpracované písemnosti uloží v PC. Komplexní úloha bude řešena v učebně ICT. Vyučující po zpracování úlohy vytiskne žákům písemnosti. Žáci si uloží vytištěné písemnosti do složky tak, aby je vyučující mohl hodnotit.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učebně ICT v průběhu realizace modulu „Obchodní písemnosti“.</w:t>
      </w:r>
      <w:r>
        <w:br/>
      </w:r>
      <w:r>
        <w:t xml:space="preserve">
Komplexní úlohu je možno využít i bez realizace uvedeného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souvislého příkladu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hospodářské tiskopisy – potřebné tiskopisy jsou přílohou komplexní úlohy. Učitel může žákům předložit tyto tiskopisy, nebo připravit tiskopisy, které znají z dřívější výuky a se kterými jsou zvyklí pracovat.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PC s připojením k internetu, MS Word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složka s 8 ks písemností za každého žáka, která bude obsahovat poptávku, nabídku,objednávku, potvrzení objednávky, urgenci, odpověď na urgenci, upomínku a odpověď na upomínku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vytvoření hlavičkových papírů max. 8 bodů, body se přiznají za vytvoření hlavičkových papírů obou firem z příkladu – hodnotí se umístění obrázku v hlavičce, celkové zpracování hlavičky, doplnění údajů do zápatí.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vystavení poptávky 6 nebo 0 bodů, aby žák získal 6 bodů, musí být poptávka správně po formální i obsahové stránce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vystavení nabídky 6 nebo 0 bodů, aby žák získal 6 bodů, musí být nabídka správně po formální i obsahové stránce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vystavení objednávky 6 nebo 0 bodů, aby žák získal 6 bodů, musí být objednávka správně po formální i obsahové stránce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vystavení potvrzení objednávky 6 nebo 0 bodů, aby žák získal 6 bodů, musí být potvrzení objednávky správně po formální i obsahové stránce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vystavení urgence 6 nebo 0 bodů, aby žák získal 6 bodů, musí být urgence správně po formální i obsahové stránce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vystavení odpověď na urgenci 6 nebo 0 bodů, aby žák získal 6 bodů, musí být odpověď na urgenci správně po formální i obsahové stránce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vystavení upomínky 6 nebo 0 bodů, aby žák získal 6 bodů, musí být upomínka správně po formální i obsahové stránce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Převodová tabulka hodnocení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Vyjádření v %</w:t>
            </w:r>
          </w:p>
        </w:tc>
        <w:tc>
          <w:tcPr/>
          <w:p>
            <w:r>
              <w:rPr>
                <w:b/>
              </w:rPr>
              <w:t xml:space="preserve">Body</w:t>
            </w:r>
          </w:p>
        </w:tc>
        <w:tc>
          <w:tcPr/>
          <w:p>
            <w:r>
              <w:rPr>
                <w:b/>
              </w:rPr>
              <w:t xml:space="preserve">Hodnocení</w:t>
            </w:r>
          </w:p>
        </w:tc>
      </w:tr>
      <w:tr>
        <w:tc>
          <w:tcPr/>
          <w:p>
            <w:r>
              <w:t xml:space="preserve">100% - 88%</w:t>
            </w:r>
          </w:p>
        </w:tc>
        <w:tc>
          <w:tcPr/>
          <w:p>
            <w:r>
              <w:t xml:space="preserve">50 - 44</w:t>
            </w:r>
          </w:p>
        </w:tc>
        <w:tc>
          <w:tcPr/>
          <w:p>
            <w:r>
              <w:t xml:space="preserve">výborný</w:t>
            </w:r>
          </w:p>
        </w:tc>
      </w:tr>
      <w:tr>
        <w:tc>
          <w:tcPr/>
          <w:p>
            <w:r>
              <w:t xml:space="preserve">87% - 75%</w:t>
            </w:r>
          </w:p>
        </w:tc>
        <w:tc>
          <w:tcPr/>
          <w:p>
            <w:r>
              <w:t xml:space="preserve">43 - 38</w:t>
            </w:r>
          </w:p>
        </w:tc>
        <w:tc>
          <w:tcPr/>
          <w:p>
            <w:r>
              <w:t xml:space="preserve">chvalitebný</w:t>
            </w:r>
          </w:p>
        </w:tc>
      </w:tr>
      <w:tr>
        <w:tc>
          <w:tcPr/>
          <w:p>
            <w:r>
              <w:t xml:space="preserve">74% - 63%</w:t>
            </w:r>
          </w:p>
        </w:tc>
        <w:tc>
          <w:tcPr/>
          <w:p>
            <w:r>
              <w:t xml:space="preserve">37 - 32</w:t>
            </w:r>
          </w:p>
        </w:tc>
        <w:tc>
          <w:tcPr/>
          <w:p>
            <w:r>
              <w:t xml:space="preserve">dobrý</w:t>
            </w:r>
          </w:p>
        </w:tc>
      </w:tr>
      <w:tr>
        <w:tc>
          <w:tcPr/>
          <w:p>
            <w:r>
              <w:t xml:space="preserve">62% - 50%</w:t>
            </w:r>
          </w:p>
        </w:tc>
        <w:tc>
          <w:tcPr/>
          <w:p>
            <w:r>
              <w:t xml:space="preserve">31 - 25</w:t>
            </w:r>
          </w:p>
        </w:tc>
        <w:tc>
          <w:tcPr/>
          <w:p>
            <w:r>
              <w:t xml:space="preserve">dostatečný</w:t>
            </w:r>
          </w:p>
        </w:tc>
      </w:tr>
      <w:tr>
        <w:tc>
          <w:tcPr/>
          <w:p>
            <w:r>
              <w:t xml:space="preserve">méně než 50%</w:t>
            </w:r>
          </w:p>
        </w:tc>
        <w:tc>
          <w:tcPr/>
          <w:p>
            <w:r>
              <w:t xml:space="preserve">&lt; 25</w:t>
            </w:r>
          </w:p>
        </w:tc>
        <w:tc>
          <w:tcPr/>
          <w:p>
            <w:r>
              <w:t xml:space="preserve">nedostatečný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Základem komplexní úlohy je zadání souvislého příkladu a složka hospodářských tiskopisů.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je k dispozici správné řešení formou vyplněných tiskopisů.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tiskopis-1_formular.doc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tiskopis-2_formular.doc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objednavka-reseni.doc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potvrzeni-objednavky_reseni.doc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upominka_reseni.doc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odpoved-na-upominku_reseni.doc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urgence_reseni.doc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odpoved-na-urgenci_reseni.doc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zadani-komplexni-ulohy.docx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poptavka_reseni.doc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nabidka_reseni.doc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Šárka Thanheiserová.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693/tiskopis-1_formular.doc" TargetMode="External" Id="rId9"/>
  <Relationship Type="http://schemas.openxmlformats.org/officeDocument/2006/relationships/hyperlink" Target="https://mov.nuv.cz/uploads/mov/attachment/attachment/81694/tiskopis-2_formular.doc" TargetMode="External" Id="rId10"/>
  <Relationship Type="http://schemas.openxmlformats.org/officeDocument/2006/relationships/hyperlink" Target="https://mov.nuv.cz/uploads/mov/attachment/attachment/81696/objednavka-reseni.doc" TargetMode="External" Id="rId11"/>
  <Relationship Type="http://schemas.openxmlformats.org/officeDocument/2006/relationships/hyperlink" Target="https://mov.nuv.cz/uploads/mov/attachment/attachment/81697/potvrzeni-objednavky_reseni.doc" TargetMode="External" Id="rId12"/>
  <Relationship Type="http://schemas.openxmlformats.org/officeDocument/2006/relationships/hyperlink" Target="https://mov.nuv.cz/uploads/mov/attachment/attachment/81698/upominka_reseni.doc" TargetMode="External" Id="rId13"/>
  <Relationship Type="http://schemas.openxmlformats.org/officeDocument/2006/relationships/hyperlink" Target="https://mov.nuv.cz/uploads/mov/attachment/attachment/81699/odpoved-na-upominku_reseni.doc" TargetMode="External" Id="rId14"/>
  <Relationship Type="http://schemas.openxmlformats.org/officeDocument/2006/relationships/hyperlink" Target="https://mov.nuv.cz/uploads/mov/attachment/attachment/81700/urgence_reseni.doc" TargetMode="External" Id="rId15"/>
  <Relationship Type="http://schemas.openxmlformats.org/officeDocument/2006/relationships/hyperlink" Target="https://mov.nuv.cz/uploads/mov/attachment/attachment/81701/odpoved-na-urgenci_reseni.doc" TargetMode="External" Id="rId16"/>
  <Relationship Type="http://schemas.openxmlformats.org/officeDocument/2006/relationships/hyperlink" Target="https://mov.nuv.cz/uploads/mov/attachment/attachment/81702/zadani-komplexni-ulohy.docx" TargetMode="External" Id="rId17"/>
  <Relationship Type="http://schemas.openxmlformats.org/officeDocument/2006/relationships/hyperlink" Target="https://mov.nuv.cz/uploads/mov/attachment/attachment/81873/poptavka_reseni.doc" TargetMode="External" Id="rId18"/>
  <Relationship Type="http://schemas.openxmlformats.org/officeDocument/2006/relationships/hyperlink" Target="https://mov.nuv.cz/uploads/mov/attachment/attachment/81874/nabidka_reseni.doc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