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13:46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osvojení znalostí v oblasti jednotlivých slohů a stylů v 19. století. Žáci rozlišují prvky umění jednotlivých slohů a stylů v 19. století (architektury, sochařství, malířství) a charakterizují uměleckořemeslné zpracování dřeva v 19.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19.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19.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slohové a styly 19. století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 významné památky v Evropě a v českých zemích v období klasicismu,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uměleckořemeslné výrobky 19. století ( počátky strojní výroby, nábytek, techniky výroby nábytku)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ročník (24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6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(hodnocené domácí úkoly a samostatná práce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</w:t>
      </w:r>
      <w:r>
        <w:rPr>
          <w:i/>
        </w:rPr>
        <w:t xml:space="preserve">Průvodce výtvarným uměním 3,</w:t>
      </w:r>
      <w:r>
        <w:t xml:space="preserve">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3</w:t>
      </w:r>
      <w:r>
        <w:t xml:space="preserve">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</w:t>
      </w:r>
      <w:r>
        <w:rPr>
          <w:i/>
        </w:rPr>
        <w:t xml:space="preserve"> Stilkunde fur Schreiner: Th.Schafer</w:t>
      </w:r>
      <w:r>
        <w:t xml:space="preserve">,Hannover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</w:t>
      </w:r>
      <w:r>
        <w:rPr>
          <w:i/>
        </w:rPr>
        <w:t xml:space="preserve">Gold Leaf,</w:t>
      </w:r>
      <w:r>
        <w:t xml:space="preserve">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</w:t>
      </w:r>
      <w:r>
        <w:rPr>
          <w:i/>
        </w:rPr>
        <w:t xml:space="preserve">Starožitný nábytek – údržba a opravy</w:t>
      </w:r>
      <w:r>
        <w:t xml:space="preserve">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2000 Benedikt Taschen Verlag GmBh: </w:t>
      </w:r>
      <w:r>
        <w:rPr>
          <w:i/>
        </w:rPr>
        <w:t xml:space="preserve">Furniture from rokoko to art deco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ZADANI-Klasicismus.docx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ZADANI-Nabytek-historizujicich-slohu.docx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ZADANI-Secese.docx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RESENI-Klasicismus.docx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RESENI-Nabytek-historizujicich-slohu.docx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RESENI-Secese.docx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Secese2.ppt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Secese3.ppt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Klasicismus1.jpg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Klasicismus2.jpg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Klasicismus3.jpg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32/ZADANI-Klasicismus.docx" TargetMode="External" Id="rId9"/>
  <Relationship Type="http://schemas.openxmlformats.org/officeDocument/2006/relationships/hyperlink" Target="https://mov.nuv.cz/uploads/mov/attachment/attachment/95433/ZADANI-Nabytek-historizujicich-slohu.docx" TargetMode="External" Id="rId10"/>
  <Relationship Type="http://schemas.openxmlformats.org/officeDocument/2006/relationships/hyperlink" Target="https://mov.nuv.cz/uploads/mov/attachment/attachment/95434/ZADANI-Secese.docx" TargetMode="External" Id="rId11"/>
  <Relationship Type="http://schemas.openxmlformats.org/officeDocument/2006/relationships/hyperlink" Target="https://mov.nuv.cz/uploads/mov/attachment/attachment/95435/RESENI-Klasicismus.docx" TargetMode="External" Id="rId12"/>
  <Relationship Type="http://schemas.openxmlformats.org/officeDocument/2006/relationships/hyperlink" Target="https://mov.nuv.cz/uploads/mov/attachment/attachment/95436/RESENI-Nabytek-historizujicich-slohu.docx" TargetMode="External" Id="rId13"/>
  <Relationship Type="http://schemas.openxmlformats.org/officeDocument/2006/relationships/hyperlink" Target="https://mov.nuv.cz/uploads/mov/attachment/attachment/95437/RESENI-Secese.docx" TargetMode="External" Id="rId14"/>
  <Relationship Type="http://schemas.openxmlformats.org/officeDocument/2006/relationships/hyperlink" Target="https://mov.nuv.cz/uploads/mov/attachment/attachment/95438/Secese2.ppt" TargetMode="External" Id="rId15"/>
  <Relationship Type="http://schemas.openxmlformats.org/officeDocument/2006/relationships/hyperlink" Target="https://mov.nuv.cz/uploads/mov/attachment/attachment/95439/Secese3.ppt" TargetMode="External" Id="rId16"/>
  <Relationship Type="http://schemas.openxmlformats.org/officeDocument/2006/relationships/hyperlink" Target="https://mov.nuv.cz/uploads/mov/attachment/attachment/95440/Klasicismus1.jpg" TargetMode="External" Id="rId17"/>
  <Relationship Type="http://schemas.openxmlformats.org/officeDocument/2006/relationships/hyperlink" Target="https://mov.nuv.cz/uploads/mov/attachment/attachment/95441/Klasicismus2.jpg" TargetMode="External" Id="rId18"/>
  <Relationship Type="http://schemas.openxmlformats.org/officeDocument/2006/relationships/hyperlink" Target="https://mov.nuv.cz/uploads/mov/attachment/attachment/95442/Klasicismus3.jpg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