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textil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UK-m-3/AN32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je určen žákům středních škol uměleckých vzdělávacích oborů a směřuje do oblasti teoretické a obecně kulturní přípravy ve vztahu k textilu jako jedné ze základních materiálových oblastí uměleckého zpracování surovin a materiálů.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textilu, učí se rozeznat charakteristické znaky a projevy zpracování textilu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textilu.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textilu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textilem.</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textilu;</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textilu;</w:t>
      </w:r>
    </w:p>
    <w:p xmlns:w="http://schemas.openxmlformats.org/wordprocessingml/2006/main">
      <w:pPr>
        <w:pStyle w:val="ListParagraph"/>
        <w:numPr>
          <w:ilvl w:val="0"/>
          <w:numId w:val="1"/>
        </w:numPr>
      </w:pPr>
      <w:r>
        <w:t xml:space="preserve">významná centra a osobnosti v dějinách zpracování textilu;</w:t>
      </w:r>
    </w:p>
    <w:p xmlns:w="http://schemas.openxmlformats.org/wordprocessingml/2006/main">
      <w:pPr>
        <w:pStyle w:val="ListParagraph"/>
        <w:numPr>
          <w:ilvl w:val="0"/>
          <w:numId w:val="1"/>
        </w:numPr>
      </w:pPr>
      <w:r>
        <w:t xml:space="preserve">základní výsledky tvůrčí umělecké činnosti z hlediska dějin zpracování textilu;</w:t>
      </w:r>
    </w:p>
    <w:p xmlns:w="http://schemas.openxmlformats.org/wordprocessingml/2006/main">
      <w:pPr>
        <w:pStyle w:val="ListParagraph"/>
        <w:numPr>
          <w:ilvl w:val="0"/>
          <w:numId w:val="1"/>
        </w:numPr>
      </w:pPr>
      <w:r>
        <w:t xml:space="preserve">regionální provazby k českému a moravskému kontextu (tradiční techniky, specifické dekory).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textilu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textilu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textilem;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nižší a průměrnou úrovní obtížnosti. Zařazení nepřiměřeně obtížných úloh by vyvolávalo potřebu posunovat mezní hranici úspěšnosti a použitý evaluační nástroj (test / soubor úloh / pracovní list)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Kybalová, L.: jednotlivé publikace ediční řady Dějiny odívání vydávané NLN</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