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kámen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UK-m-4/AN37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jejichž studium je ukončeno maturitní zkouškou.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kamene, učí se rozeznat charakteristické znaky a projevy zpracování kamene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kamene.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kamene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škol, dílen a kamenosochařských hutí;</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kamene;</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kamene;</w:t>
      </w:r>
    </w:p>
    <w:p xmlns:w="http://schemas.openxmlformats.org/wordprocessingml/2006/main">
      <w:pPr>
        <w:pStyle w:val="ListParagraph"/>
        <w:numPr>
          <w:ilvl w:val="0"/>
          <w:numId w:val="1"/>
        </w:numPr>
      </w:pPr>
      <w:r>
        <w:t xml:space="preserve">významná centra a osobnosti v dějinách zpracování kamene;</w:t>
      </w:r>
    </w:p>
    <w:p xmlns:w="http://schemas.openxmlformats.org/wordprocessingml/2006/main">
      <w:pPr>
        <w:pStyle w:val="ListParagraph"/>
        <w:numPr>
          <w:ilvl w:val="0"/>
          <w:numId w:val="1"/>
        </w:numPr>
      </w:pPr>
      <w:r>
        <w:t xml:space="preserve">základní výsledky tvůrčí umělecké činnosti z hlediska dějin zpracování kamene.</w:t>
      </w:r>
    </w:p>
    <w:p xmlns:w="http://schemas.openxmlformats.org/wordprocessingml/2006/main" xmlns:pkg="http://schemas.microsoft.com/office/2006/xmlPackage" xmlns:str="http://exslt.org/strings" xmlns:fn="http://www.w3.org/2005/xpath-functions">
      <w:r>
        <w:t xml:space="preserve">Vzdělávací obsah modulu je veden na rámcové časové ose: umění pravěku – umění starověku (Mezopotámie – Egypt – Indie, Čína – Egejská oblast, Kréta – Řecko – Etruskové – antický Řím) – umění raného středověku (křesťanské antické umění – umění raně středověké Evropy) – umění vrcholného středověku (románské umění – gotika) – umění novověku (renesance – baroko – rokoko) – umění 18. a 19. století (klasicismus – romantismus – realismus – impresionismus – postimpresionismus – architektura průmyslové revoluce, historizující slohy – symbolismus a secese) – umění 20. a 21. století (umělecké směry první i druhé poloviny 20. století podle výběru a zaměření školy – postmodernismus) – současné umění, a to se zohledněním proměnlivého uplatnění kamene jako uměleckého materiálu v různých obdobích vývoje lidské společnosti.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kamene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kamene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škol, dílen a kamenosochařských hutí;</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w:pPr>
        <w:pStyle w:val="ListParagraph"/>
        <w:numPr>
          <w:ilvl w:val="0"/>
          <w:numId w:val="6"/>
        </w:numPr>
      </w:pPr>
      <w:r>
        <w:t xml:space="preserve">v průběhu modulu ověřováno prostřednictvím nástrojů formativního hodnocení.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Výsledek učení d) je hodnocen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7"/>
        </w:numPr>
      </w:pPr>
      <w:r>
        <w:t xml:space="preserve">úspěšnost žáka v testu pod 40 % = nedostatečný </w:t>
      </w:r>
    </w:p>
    <w:p xmlns:w="http://schemas.openxmlformats.org/wordprocessingml/2006/main">
      <w:pPr>
        <w:pStyle w:val="ListParagraph"/>
        <w:numPr>
          <w:ilvl w:val="0"/>
          <w:numId w:val="7"/>
        </w:numPr>
      </w:pPr>
      <w:r>
        <w:t xml:space="preserve">úspěšnost žáka v testu od 40 do 55 % = dostatečný </w:t>
      </w:r>
    </w:p>
    <w:p xmlns:w="http://schemas.openxmlformats.org/wordprocessingml/2006/main">
      <w:pPr>
        <w:pStyle w:val="ListParagraph"/>
        <w:numPr>
          <w:ilvl w:val="0"/>
          <w:numId w:val="7"/>
        </w:numPr>
      </w:pPr>
      <w:r>
        <w:t xml:space="preserve">úspěšnost žáka v testu od 56 do 70 % = dobrý </w:t>
      </w:r>
    </w:p>
    <w:p xmlns:w="http://schemas.openxmlformats.org/wordprocessingml/2006/main">
      <w:pPr>
        <w:pStyle w:val="ListParagraph"/>
        <w:numPr>
          <w:ilvl w:val="0"/>
          <w:numId w:val="7"/>
        </w:numPr>
      </w:pPr>
      <w:r>
        <w:t xml:space="preserve">úspěšnost žáka v testu od 71 do 85 % = chvalitebný </w:t>
      </w:r>
    </w:p>
    <w:p xmlns:w="http://schemas.openxmlformats.org/wordprocessingml/2006/main">
      <w:pPr>
        <w:pStyle w:val="ListParagraph"/>
        <w:numPr>
          <w:ilvl w:val="0"/>
          <w:numId w:val="7"/>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r>
        <w:t xml:space="preserve">V případě zařazení samostatného projevu žáka s argumentační obhajobou do souhrnného hodnocení se doporučuje důsledně uplatňovat princip, že předmětem hodnocení jsou žákovy dovednosti argumentace a obhajoby, nikoli názor samotný. Zde se doporučuje i při souhrnném hodnocení použít především nástrojů formativního hodnocení.</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modulu musí žák zároveň uspět ve výsledku učení d).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Stadler, W.: Historie a vývoj sochařského umění v Evropě od pravěku do 21. století. Praha, Rebo Productions 1996.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