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kov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UK-m-4/AN39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kovů, učí se rozeznat charakteristické znaky a projevy zpracování kovů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kovu.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kovů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 kovy;</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kovů;</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kovů;</w:t>
      </w:r>
    </w:p>
    <w:p xmlns:w="http://schemas.openxmlformats.org/wordprocessingml/2006/main">
      <w:pPr>
        <w:pStyle w:val="ListParagraph"/>
        <w:numPr>
          <w:ilvl w:val="0"/>
          <w:numId w:val="1"/>
        </w:numPr>
      </w:pPr>
      <w:r>
        <w:t xml:space="preserve">významná centra a osobnosti v dějinách zpracování kovů;</w:t>
      </w:r>
    </w:p>
    <w:p xmlns:w="http://schemas.openxmlformats.org/wordprocessingml/2006/main">
      <w:pPr>
        <w:pStyle w:val="ListParagraph"/>
        <w:numPr>
          <w:ilvl w:val="0"/>
          <w:numId w:val="1"/>
        </w:numPr>
      </w:pPr>
      <w:r>
        <w:t xml:space="preserve">základní výsledky tvůrčí umělecké činnosti z hlediska dějin zpracování kovů;</w:t>
      </w:r>
    </w:p>
    <w:p xmlns:w="http://schemas.openxmlformats.org/wordprocessingml/2006/main">
      <w:pPr>
        <w:pStyle w:val="ListParagraph"/>
        <w:numPr>
          <w:ilvl w:val="0"/>
          <w:numId w:val="1"/>
        </w:numPr>
      </w:pPr>
      <w:r>
        <w:t xml:space="preserve">regionální provazby a český kulturněhistorický kontext. </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a to se zohledněním proměnlivého uplatnění kovů jako uměleckého materiálu v různých obdobích vývoje lidské společnosti.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kovů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kovů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 kovy;</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w:pPr>
        <w:pStyle w:val="ListParagraph"/>
        <w:numPr>
          <w:ilvl w:val="0"/>
          <w:numId w:val="6"/>
        </w:numPr>
      </w:pPr>
      <w:r>
        <w:t xml:space="preserve">v průběhu modulu ověřováno prostřednictvím nástrojů formativního hodnocení.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d)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7"/>
        </w:numPr>
      </w:pPr>
      <w:r>
        <w:t xml:space="preserve">úspěšnost žáka v testu pod 40 % = nedostatečný </w:t>
      </w:r>
    </w:p>
    <w:p xmlns:w="http://schemas.openxmlformats.org/wordprocessingml/2006/main">
      <w:pPr>
        <w:pStyle w:val="ListParagraph"/>
        <w:numPr>
          <w:ilvl w:val="0"/>
          <w:numId w:val="7"/>
        </w:numPr>
      </w:pPr>
      <w:r>
        <w:t xml:space="preserve">úspěšnost žáka v testu od 40 do 55 % = dostatečný </w:t>
      </w:r>
    </w:p>
    <w:p xmlns:w="http://schemas.openxmlformats.org/wordprocessingml/2006/main">
      <w:pPr>
        <w:pStyle w:val="ListParagraph"/>
        <w:numPr>
          <w:ilvl w:val="0"/>
          <w:numId w:val="7"/>
        </w:numPr>
      </w:pPr>
      <w:r>
        <w:t xml:space="preserve">úspěšnost žáka v testu od 56 do 70 % = dobrý </w:t>
      </w:r>
    </w:p>
    <w:p xmlns:w="http://schemas.openxmlformats.org/wordprocessingml/2006/main">
      <w:pPr>
        <w:pStyle w:val="ListParagraph"/>
        <w:numPr>
          <w:ilvl w:val="0"/>
          <w:numId w:val="7"/>
        </w:numPr>
      </w:pPr>
      <w:r>
        <w:t xml:space="preserve">úspěšnost žáka v testu od 71 do 85 % = chvalitebný </w:t>
      </w:r>
    </w:p>
    <w:p xmlns:w="http://schemas.openxmlformats.org/wordprocessingml/2006/main">
      <w:pPr>
        <w:pStyle w:val="ListParagraph"/>
        <w:numPr>
          <w:ilvl w:val="0"/>
          <w:numId w:val="7"/>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r>
        <w:t xml:space="preserve">V případě zařazení samostatného projevu žáka s argumentační obhajobou do souhrnného hodnocení se doporučuje důsledně uplatňovat princip, že předmětem hodnocení jsou žákovy dovednosti argumentace a obhajoby, nikoli názor samotný. Zde se doporučuje i při souhrnném hodnocení použít především nástrojů formativního hodnocení.</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d).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Révay, P. – Vondruška Š.: Umělecké kovářství. Praha, Grada 2010.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