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Cenné papíry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financování, principy finančního trhu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 formami cenných papírů, rozdílem mezi cennými papíry peněžního a kapitálového trhu včetně konkrétních výpočtů a obchodováním s cennými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žákům prohloubí kompetence potřebné k pracovnímu uplatnění v oblasti bankovnictví a finančního poradenství.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rozliší a definuje typy cenných papírů peněžního a kapitálového trhu, aplikuje výpočet směnky pro potřeby účetnictví, popíše fungování trhu s cennými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fungování finančního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využití cenných papírů a obchodování s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cenné papíry finančního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cenné papíry kapitálového trhu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investování prostřednictvím cenných papírů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cenné papíry a investování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 cenných papírů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vystavení cenných papírů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cenné papíry peněžního trhu 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šek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směnka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státní pokladniční poukázka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cenné papíry kapitálového trhu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majetkové cenné papíry
			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akcie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podílový list 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úvěrové cenné papíry 
			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dluhopis 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hypoteční zástavní list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obchodování s cennými papíry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burza cenných papírů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RM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informačních a komunikačních technologií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vzájemná diskuze mezi žáky a učitelem a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informacemi, jejich analýza a interpretace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 odborníkem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příklad – návrh na investování financí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projev – jazyková správnost, srozumitelnost, souvislost myšlenek, odborné vyjadřování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vyřešení praktického příkladu a jeho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pro obchodní akademie a ostatní střední školy. 5., upr. vyd. Praha: Eduko, 2013. ISBN 978-80-87204-55-9.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MÜNCH, Yvetta FRYDRYŠKOVÁ, Jarmila ČECHOVÁ a Lenka BARBOROVÁ. Ekonomika pro obchodní akademie a ostatní střední školy. Praha: Eduko nakladatelství, 2018. ISBN 978-80-88057-02-4.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nejen k maturitě. Šesté, upravené vydání. Praha: Eduko nakladatelství, 2019. ISBN 978-80-88057-63-5.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Veisová.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