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písma v designu webové stránky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 Základy HTML, HTML5, CSS – Kaskádové styly, W3C, SEO optimalizace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 v oblasti užití písma v designu webové stránky. Technologické aspekty, zdroje a licencování. Žák se seznámí s názvoslovím, klasifikací písem a určením vhodnosti použití daného fontu v designu webu. Žák směřuje ke dvěma hlavním cílům – čitelnosti a vizuální poutavosti.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vyjmenuje dělení písma, používá názvosloví a technologické aspekty, popíše problematiku licencování, žák je schopen aplikovat získané znalosti do vlastní práce a pracovat na zadaném úkolu 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typografické názvosloví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vymezí vhodnost užití kombinace více fontů na stránku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navržení i realizaci webu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vymezí zdroje licencovaných i volně použitelných písem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prvky licenční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Velikost písma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 mobil: 14–16 px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 desktop: 16–22 px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Šírka řádku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ideální šířka řádku (45-80 znaky)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Výška řádku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CSS je to line-height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čím delší je řádek, tím větší musí být výška řádku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čím menší je písmo, tím větší musí být výška řádku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Kontrast a světlost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hutnost nebo pocit těžkosti písma na stránce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Rytmus (vodorovný i svislý)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umístění písma na mřížku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Typografická škála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poměr velikosti nadpisů, podnadpisů, úvodu (perexu) a běžného textu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Vhodnost užití písma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účel webu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obsah webu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rodina písem (řezy)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česká znaková sada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Licence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open source–Google Fonts, Open–Foundry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licence placená–omezení na jeden a více desktop zařízení, nebo počet zobrazení na webu (myfonts.com)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free licence pro osobní účely, ne vždy je free licence povolena pro webové 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odborný výklad s prezentací a ukázkami (seznámení s tvorbou webu a práse s typografií a sazbou, klasifikace písem, typografické zásady, licence)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přednes s použitím odborné literatury – obrazové publikace typografie, prezentace názorných prací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vlastní tvorba s konzultací - průběžná práce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provedení vlastního webdesignu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teoretická část (teoretický popis tématu - práce s typografií)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praktická část (provádí webdesign s množstvím textu, dbá na čitelnost a vizuální poutavost...)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závěr (výsledky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seznámí se a následně používá klasifikaci písem a typografické názvosloví, typografické zásady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vymezí vhodnost užití při designu vlastního webu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používá 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vymezí zdroje licencovaných i volně použitelných písem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vyjmenuje prvky licenční smlouvy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provedení vlastního webdesignu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klasifikaci písem a typografické názvosloví, typografické zásady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užití fontů v designu vlastního webu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zdroje licencovaných i volně použitelných písem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prvky licenční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4 – 40 až 59 % v kvalitě výsledků činnosti a grafickém projevu se projevují nedostatky, grafický projev je málo estetický, závažné nedostatky a chyby dovede žák s pomocí učitele opravit, při samostatném studiu má velké potíže - nedovede samostatně studovat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hranice úspěšnosti zkoušky – 39 % kvalita výsledků činnosti a grafický projev mají vážné nedostatky, závažné nedostatky a chyby nedovede žák opravit ani s pomocí učitele, nedovede samostatně stdovat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BERAN, Vladimír, kolektiv autorů; Typografický manuál;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ŘEZÁČ, Jan; Web ostrý jako břitva; 2016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MUZIKA, František: Krásné písmo ve vývoji latinky (I. + II. díl), 1963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SALTZ, Ina: Základy typografie,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Robin Michenka.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