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umění starověku. Žák se seznámí s uměním starověku v architekturuře, sochařství, malířství a získá znalost uměleckořemeslných výrobků této doby – nábytku, technik jejich zhotovení.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charakteristizuje a identifikuje umělecké objekty 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seznámí s uměním starověku v architekturuře, sochařství, malířství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starověké umění Egypta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starověké umění antického Řecka a Říma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seznámí s uměleckořemeslnými výrobky (nábytkem, technikou jejich zhotovení)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rozbor vlastního uměleckého díla z hlediska jeho funkčního zařazení, zejména vztahu formy a obsahu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vyhodnotí teoretický a praktický význam vlastního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Starověké umění Egypta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architektura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sochařství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malířství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uměleckořemeslné zpracování dřeva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techniky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ornament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nábytek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Starověké umění antického Řecka a Říma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architektura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sochařství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malířství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uměleckořemeslné zpracování dřeva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techniky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ornament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nábytek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 a rozbor uměleckého díla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 – obrazové publikace (dějin umění a historického nábytku a technik)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domácí úkoly (hledání materiálů a informací, vytvoření presentace k danému tématu)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samostatná práce (prezentace)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 prezentace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popíše umění starověku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popíše uměleckořemeslné techniky a  uměleckořemeslné zpracování dřeva v období starověku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a rozebere umělecké dílo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umění umění starověku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uměleckořemeslné techniky a  uměleckořemeslné zpracování dřeva v období starověku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charakteristika a rozbor uměleckého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ADAMEC, J., ŠAMŠULA, P., Průvodce výtvarným uměním 1, Praha: Vydavatelství a nakladatelství Práce,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Dějiny výtvarné kultury 1, IDEA SERVIS, ISBN 80- 85970-23-6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Irena Svobodová.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