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Hospodaříme s přebytkem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rozpočtové a peněžní gramotnosti. Modulovými tématy jsou rozpočet domácnosti, spoření, investování, pojištění a zabezpečení na stáří.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sestaví jednoduchý domácí rozpočet;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vyrovnaný, přebytkový a schodkový rozpočet;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možnosti pro nakládání s přebytkem domácího rozpočtu s ohledem na očekávané výnosy, rizika a likviditu;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 nabídce služeb různých finančních společností.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Přebytek v domácnosti;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spotřeba;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investice;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pojištění.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 hospodaření s přebytkem v domácnosti. Žáci si osvojují dovednosti v oblastech sestavení domácího rozpočtu, zvolení vhodné formy spoření, investování, pojištění a zabezpečení na stáří. Modul přispívá ke zlepšení úrovně finanční gramotnosti žáků. Podstatnou složkou modulu je důraz na orientaci v nabídkách různých finančních institucí.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soubory úloh zaměřených na sestavení domácího rozpočtu a rozlišení vyrovnaného, přebytkového a schodkového rozpočtu;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nabídce jednotlivých finančních společností;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případně beseda/exkurze (stavební spořitelna, banka, pojišťovna, finanční poradce…)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probíhá následovně: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Výsledky učení a) a b) jsou ověřovány prostřednictvím zadané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Výsledky učení c) jsou ověřeny prostřednictvím testu.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Výsledky učení d) jsou ověřeny na základě pracovního listu, jehož specifikací jsou dovednosti v získávání a zpracování informací v předmětné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nastavení všech tří forem ověřování výsledků je třetinové. Toto nastavení lze měnit podle potřeb jednotlivých vyučujících, přičemž zastoupení jednotlivých forem ověřování výsledků učení by nemělo klesnout pod 25 %. Procentuální zastoupení výsledku učení je odvozeno od maximálního získatelného počtu bodů za daný výsledek učení (nikoli tedy od počtu úloh – může se jednat o dramatický rozdíl). Doporučuje se při konstrukci testu odvozovat úlohy od souvislých i nesouvislých výchozích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a), b) a d) jsou při závěrečném ověřování hodnoceny na škále splnil – nesplnil.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c)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modul, pokud splnil každý z výsledků učení a), b) a d) a zároveň dosáhl minimálně 40% úspěšnosti v testu ověřujícím výsledek učení c).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desková hra: Finanční svoboda (www.financnisvoboda.cz)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ilustračním příkladem. Výběr studijní literatury je v kompetenci vyučujícího v závislosti na konkrétních podmínkách školy.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Klára Matějovská.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