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Skladování potravin a nápojů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65-m-2/AH09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teoretický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12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Znalost jednotlivých druhů potravin a nápojů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Žáci získají odborné teoretické znalosti v oblasti skladování potravin a nápojů. Dílčím cílem je osvojení hygienických, bezpečnostních a protipožárních pravidel, poznatků o aplikaci a využití kritických bodů HACCP. Modul je cílen na posílení hmotné odpovědnosti žáka. Po ukončení modulu bude žák skladovat základní potraviny a nápoje dle druhu, vlastností a platných norem.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skladování potravin a nápojů v souladu s hygienickými, bezpečnostními a protipožárními předpisy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zavedení systému HACCP ve skladech potravin a nápojů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rozliší druhy skladů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skladování základních komodit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pohyb zásob ve skladu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definuje objednávku, přejímku zboží a výdej zboží ze skladu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inventarizaci zásob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charakterizuje pracovní pozice ve skladovém hospodářství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Hygienické, bezpečnostní a protipožární předpisy pro skladování potravin a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Bezpečnost potravin, systém HACCP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Sklady potravin a nápojů – rozdělení, podmínky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jednotlivých komodit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Základní provozní činnosti ve skladu – objednávání zboží, přejímka zboží, výdej zboží ze skladu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Inventarizace zásob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Pracovníci skladu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Strategie výuky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frontální výuka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výklad, powerpointová prezentace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průběžná zpětná vazba cílená na probrané učivo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práce s textem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diskuze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exkurze do reálného prostředí firmy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Učební činnosti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sleduje odborný výklad učitele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pracuje s textem a pomůckami (pracovní listy, prezentace)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pořizuje si poznámky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efektivně zpracovává informace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poznatků z odborného výkladu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vysvětlí skladování potravin a nápojů v souladu s hygienickými, bezpečnostními a protipožárními předpisy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na základě získaných poznatků z odborného výkladu, práce s pracovními listy, z powerpointové prezentace a odborné exkurze
	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charakterizuje druhy skladů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zvolí vhodný způsob k uskladnění potravin a nápojů v souladu s jejich vlastnostmi a dodržením hygienických předpisů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objasní pohyb zásob ve skladu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zpracuje objednávku, příjemku a výdejku zboží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charakterizuje inventarizaci zásob na skladě</w:t>
      </w:r>
    </w:p>
    <w:p xmlns:w="http://schemas.openxmlformats.org/wordprocessingml/2006/main">
      <w:pPr>
        <w:pStyle w:val="ListParagraph"/>
        <w:numPr>
          <w:ilvl w:val="1"/>
          <w:numId w:val="4"/>
        </w:numPr>
      </w:pPr>
      <w:r>
        <w:t xml:space="preserve">upřesní pracovní náplně pracovníků skladu potravin a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Užší odborný základ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1. 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Ověřování dosažených výsledků zahrnuje písemné zkoušení probraného učiva formou didaktického testu.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Splněný modul je tehdy, když žák absolvuje alespoň 10 hodin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Písemná zkouška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didaktický test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Propočet mezi procenty správných odpovědí a známkou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méně než 35 % - 5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35 a méně než 50 % - 4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50 a méně než 70 % - 3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70 a méně než 85 % - 2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správně je alespoň 85 % - 1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Nařízení ES č. 852/2004 o hygieně potravin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Vyhláška č. 137/2004 Sb., o hygienických požadavcích na stravovací služby a o zásadách osobní a provozní hygieny při činnostech epidemiologicky závažných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258/2000 Sb., o ochraně veřejného zdraví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Zákon č. 110/1997 Sb., o potravinách a tabákových výrobcích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Marta Němečková.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