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Majetková práva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63-m-4/AI15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63 - Ekonomika a administrativa</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63-41-M/02 Obchodní akademie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občanské nauky, historie, schopnost analýzy a syntézy, logické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civilního  majetkového a závazkového práva. Žák si osvojí základní pojmosloví vlastnického práva, práva obligačního (závazkového), principy tvorby základních pojmenovaných smluv z těchto oblastí.  Dále získá znalosti souvisejících institutů občanského práva hmotného.</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 majetkoprávní kauze byla dodržena kogentní ustanovení občanského zákoníku, umí posoudit elementární důvody neplatnosti závazků, ví, jak se příp. právně účinně bránit proti porušení svého majetkového práva. Dále se žák bude správně orientovat v jednotlivých fázích vyjednávání o smlouvě, rozliší, zdali smlouva byla vůbec účinně uzavřena či nikoliv. Též pochopí základní rizika porušení závazku v oblasti občanského práva hmotného.</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Vyhotoví základní smluvně-právní písemnosti</w:t>
      </w:r>
    </w:p>
    <w:p xmlns:w="http://schemas.openxmlformats.org/wordprocessingml/2006/main">
      <w:pPr>
        <w:pStyle w:val="ListParagraph"/>
        <w:numPr>
          <w:ilvl w:val="0"/>
          <w:numId w:val="1"/>
        </w:numPr>
      </w:pPr>
      <w:r>
        <w:t xml:space="preserve">Vypracuje jednoduchou žalobu na obranu svého vlastnického práva (žaloba na vydání věci, žaloba zdržovací...)</w:t>
      </w:r>
    </w:p>
    <w:p xmlns:w="http://schemas.openxmlformats.org/wordprocessingml/2006/main">
      <w:pPr>
        <w:pStyle w:val="ListParagraph"/>
        <w:numPr>
          <w:ilvl w:val="0"/>
          <w:numId w:val="1"/>
        </w:numPr>
      </w:pPr>
      <w:r>
        <w:t xml:space="preserve">Vyhotoví s pomocí zákonných textů a literatury návrh jednodušší občanskoprávní smlouvy</w:t>
      </w:r>
    </w:p>
    <w:p xmlns:w="http://schemas.openxmlformats.org/wordprocessingml/2006/main">
      <w:pPr>
        <w:pStyle w:val="ListParagraph"/>
        <w:numPr>
          <w:ilvl w:val="0"/>
          <w:numId w:val="1"/>
        </w:numPr>
      </w:pPr>
      <w:r>
        <w:t xml:space="preserve">Komunikuje na slušné úrovni s úředníkem, soudcem, advokátem, chápe jejich profesní slang a zvyklosti</w:t>
      </w:r>
    </w:p>
    <w:p xmlns:w="http://schemas.openxmlformats.org/wordprocessingml/2006/main">
      <w:pPr>
        <w:pStyle w:val="ListParagraph"/>
        <w:numPr>
          <w:ilvl w:val="0"/>
          <w:numId w:val="1"/>
        </w:numPr>
      </w:pPr>
      <w:r>
        <w:t xml:space="preserve">Uvědomuje si nutnost zajištění své právní pozice tzv. utvrzením závazku – uznáním závazku, ručením apod.</w:t>
      </w:r>
    </w:p>
    <w:p xmlns:w="http://schemas.openxmlformats.org/wordprocessingml/2006/main">
      <w:pPr>
        <w:pStyle w:val="ListParagraph"/>
        <w:numPr>
          <w:ilvl w:val="0"/>
          <w:numId w:val="1"/>
        </w:numPr>
      </w:pPr>
      <w:r>
        <w:t xml:space="preserve">Rozpozná, kdy jeho jednání může mít deliktní následky v oblasti majetku a závazků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Občanský zákoník</w:t>
      </w:r>
    </w:p>
    <w:p xmlns:w="http://schemas.openxmlformats.org/wordprocessingml/2006/main">
      <w:pPr>
        <w:pStyle w:val="ListParagraph"/>
        <w:numPr>
          <w:ilvl w:val="0"/>
          <w:numId w:val="2"/>
        </w:numPr>
      </w:pPr>
      <w:r>
        <w:t xml:space="preserve">Katastrální zákon</w:t>
      </w:r>
    </w:p>
    <w:p xmlns:w="http://schemas.openxmlformats.org/wordprocessingml/2006/main">
      <w:pPr>
        <w:pStyle w:val="ListParagraph"/>
        <w:numPr>
          <w:ilvl w:val="0"/>
          <w:numId w:val="2"/>
        </w:numPr>
      </w:pPr>
      <w:r>
        <w:t xml:space="preserve">Katastrální vyhláška</w:t>
      </w:r>
    </w:p>
    <w:p xmlns:w="http://schemas.openxmlformats.org/wordprocessingml/2006/main">
      <w:pPr>
        <w:pStyle w:val="ListParagraph"/>
        <w:numPr>
          <w:ilvl w:val="0"/>
          <w:numId w:val="2"/>
        </w:numPr>
      </w:pPr>
      <w:r>
        <w:t xml:space="preserve">Zákon o dani z nabytí nemovitých věcí.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rodiny, praxe)</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exkurze do právnické firmy – minimálně 1</w:t>
      </w:r>
    </w:p>
    <w:p xmlns:w="http://schemas.openxmlformats.org/wordprocessingml/2006/main">
      <w:pPr>
        <w:pStyle w:val="ListParagraph"/>
        <w:numPr>
          <w:ilvl w:val="0"/>
          <w:numId w:val="3"/>
        </w:numPr>
      </w:pPr>
      <w:r>
        <w:t xml:space="preserve">beseda s odborníkem z praxe</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Vzorové smlouvy dostupné na internetu.</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Rejmont.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