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Rodinné právo. Trestní právo.</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78-m-4/AI28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78-41-M/02 Ekonomické lyceum</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občanské nauky, historie, schopnost analýzy a syntézy, logické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rodinného a trestního práva. Žák si osvojí základní pojmosloví rodinného práva včetně jeho majetkových aspektů, vztahů mezi rodiči a dětmi, principy činnosti tuzemských „rozvodových“ soudů i Evropského soudu pro lidská práva. Dále získá znalosti trestního práva hmotného a trestního řízení včetně role Ústavního soudu v těchto oblastech.</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konkrétním postupu „rozvodového" soudu či orgánu činného v trestním řízení byly dodrženy základní postuláty právního státu, jak se příp. právně účinně bránit proti porušení práva, zejména práva na spravedlivý proces, jak správně argumentovat. Dále se žák bude správně orientovat v jednotlivých fázích rozvodového i trestního řízení, bude mít povědomí o řádných a mimořádných opravných prostředcích dle trestního řádu.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vyhotoví základní právní písemnosti</w:t>
      </w:r>
    </w:p>
    <w:p xmlns:w="http://schemas.openxmlformats.org/wordprocessingml/2006/main">
      <w:pPr>
        <w:pStyle w:val="ListParagraph"/>
        <w:numPr>
          <w:ilvl w:val="0"/>
          <w:numId w:val="1"/>
        </w:numPr>
      </w:pPr>
      <w:r>
        <w:t xml:space="preserve">vypracuje jednoduché odvolání proti rozhodnutí orgánu činného v trestním řízení nebo v rozvodové kauze</w:t>
      </w:r>
    </w:p>
    <w:p xmlns:w="http://schemas.openxmlformats.org/wordprocessingml/2006/main">
      <w:pPr>
        <w:pStyle w:val="ListParagraph"/>
        <w:numPr>
          <w:ilvl w:val="0"/>
          <w:numId w:val="1"/>
        </w:numPr>
      </w:pPr>
      <w:r>
        <w:t xml:space="preserve">napíše s  pomocí zákonných textů a literatury stížnost např. ombudsmanovi ČR, státnímu zástupci apod.</w:t>
      </w:r>
    </w:p>
    <w:p xmlns:w="http://schemas.openxmlformats.org/wordprocessingml/2006/main">
      <w:pPr>
        <w:pStyle w:val="ListParagraph"/>
        <w:numPr>
          <w:ilvl w:val="0"/>
          <w:numId w:val="1"/>
        </w:numPr>
      </w:pPr>
      <w:r>
        <w:t xml:space="preserve">vyhotoví základní právní obranu proti návrhu na rozvod, obžalobě, trestnímu oznámení druhé osoby apod.</w:t>
      </w:r>
    </w:p>
    <w:p xmlns:w="http://schemas.openxmlformats.org/wordprocessingml/2006/main">
      <w:pPr>
        <w:pStyle w:val="ListParagraph"/>
        <w:numPr>
          <w:ilvl w:val="0"/>
          <w:numId w:val="1"/>
        </w:numPr>
      </w:pPr>
      <w:r>
        <w:t xml:space="preserve">komunikuje na slušné úrovni s vyšetřovatelem, soudcem, advokátem, chápe jejich profesní slang a zvyklosti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Občanský zákoník.</w:t>
      </w:r>
    </w:p>
    <w:p xmlns:w="http://schemas.openxmlformats.org/wordprocessingml/2006/main">
      <w:pPr>
        <w:pStyle w:val="ListParagraph"/>
        <w:numPr>
          <w:ilvl w:val="0"/>
          <w:numId w:val="2"/>
        </w:numPr>
      </w:pPr>
      <w:r>
        <w:t xml:space="preserve">Zákon o zvláštních řízeních soudních.</w:t>
      </w:r>
    </w:p>
    <w:p xmlns:w="http://schemas.openxmlformats.org/wordprocessingml/2006/main">
      <w:pPr>
        <w:pStyle w:val="ListParagraph"/>
        <w:numPr>
          <w:ilvl w:val="0"/>
          <w:numId w:val="2"/>
        </w:numPr>
      </w:pPr>
      <w:r>
        <w:t xml:space="preserve">Trestní kodexy, vše v platném znění.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rodiny, praxe)</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exkurze do právnické firmy – minimálně 1</w:t>
      </w:r>
    </w:p>
    <w:p xmlns:w="http://schemas.openxmlformats.org/wordprocessingml/2006/main">
      <w:pPr>
        <w:pStyle w:val="ListParagraph"/>
        <w:numPr>
          <w:ilvl w:val="0"/>
          <w:numId w:val="3"/>
        </w:numPr>
      </w:pPr>
      <w:r>
        <w:t xml:space="preserve">beseda s odborníkem z praxe</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a Trestní zákoník.</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Vladimír Rejmont.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